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1D7C47" w14:textId="77777777" w:rsidR="001B0080" w:rsidRDefault="001B0080" w:rsidP="001B0080">
      <w:pPr>
        <w:jc w:val="center"/>
        <w:rPr>
          <w:lang w:val="en-US"/>
        </w:rPr>
      </w:pPr>
      <w:bookmarkStart w:id="0" w:name="_GoBack"/>
      <w:bookmarkEnd w:id="0"/>
    </w:p>
    <w:p w14:paraId="0081507B" w14:textId="77777777" w:rsidR="001B0080" w:rsidRDefault="001B0080" w:rsidP="001B0080">
      <w:pPr>
        <w:jc w:val="center"/>
        <w:rPr>
          <w:lang w:val="en-US"/>
        </w:rPr>
      </w:pPr>
    </w:p>
    <w:p w14:paraId="23D20BE1" w14:textId="77777777" w:rsidR="001B0080" w:rsidRDefault="001B0080" w:rsidP="001B0080">
      <w:pPr>
        <w:jc w:val="center"/>
        <w:rPr>
          <w:lang w:val="en-US"/>
        </w:rPr>
      </w:pPr>
    </w:p>
    <w:p w14:paraId="46730AED" w14:textId="77777777" w:rsidR="001B0080" w:rsidRDefault="001B0080" w:rsidP="001B0080">
      <w:pPr>
        <w:jc w:val="center"/>
        <w:rPr>
          <w:lang w:val="en-US"/>
        </w:rPr>
      </w:pPr>
    </w:p>
    <w:p w14:paraId="60959137" w14:textId="77777777" w:rsidR="001B0080" w:rsidRDefault="001B0080" w:rsidP="001B0080">
      <w:pPr>
        <w:jc w:val="center"/>
        <w:rPr>
          <w:lang w:val="en-US"/>
        </w:rPr>
      </w:pPr>
    </w:p>
    <w:p w14:paraId="08AC4510" w14:textId="77777777" w:rsidR="001B0080" w:rsidRDefault="001B0080" w:rsidP="001B0080">
      <w:pPr>
        <w:jc w:val="center"/>
        <w:rPr>
          <w:lang w:val="en-US"/>
        </w:rPr>
      </w:pPr>
    </w:p>
    <w:p w14:paraId="24E4FCEC" w14:textId="77777777" w:rsidR="001B0080" w:rsidRDefault="001B0080" w:rsidP="001B0080">
      <w:pPr>
        <w:jc w:val="center"/>
        <w:rPr>
          <w:lang w:val="en-US"/>
        </w:rPr>
      </w:pPr>
    </w:p>
    <w:p w14:paraId="294B6241" w14:textId="77777777" w:rsidR="001B0080" w:rsidRDefault="001B0080" w:rsidP="001B0080">
      <w:pPr>
        <w:jc w:val="center"/>
        <w:rPr>
          <w:lang w:val="en-US"/>
        </w:rPr>
      </w:pPr>
    </w:p>
    <w:p w14:paraId="7C641689" w14:textId="77777777" w:rsidR="001B0080" w:rsidRDefault="001B0080" w:rsidP="001B0080">
      <w:pPr>
        <w:jc w:val="center"/>
        <w:rPr>
          <w:lang w:val="en-US"/>
        </w:rPr>
      </w:pPr>
    </w:p>
    <w:p w14:paraId="697130E0" w14:textId="77777777" w:rsidR="001B0080" w:rsidRDefault="001B0080" w:rsidP="001B0080">
      <w:pPr>
        <w:jc w:val="center"/>
        <w:rPr>
          <w:lang w:val="en-US"/>
        </w:rPr>
      </w:pPr>
    </w:p>
    <w:p w14:paraId="0A7E6F02" w14:textId="77777777" w:rsidR="001B0080" w:rsidRDefault="001B0080" w:rsidP="001B0080">
      <w:pPr>
        <w:jc w:val="center"/>
        <w:rPr>
          <w:lang w:val="en-US"/>
        </w:rPr>
      </w:pPr>
    </w:p>
    <w:p w14:paraId="42F76436" w14:textId="77777777" w:rsidR="001B0080" w:rsidRDefault="001B0080" w:rsidP="001B0080">
      <w:pPr>
        <w:jc w:val="center"/>
        <w:rPr>
          <w:lang w:val="en-US"/>
        </w:rPr>
      </w:pPr>
    </w:p>
    <w:p w14:paraId="5FD6EA9A" w14:textId="77777777" w:rsidR="001B0080" w:rsidRDefault="001B0080" w:rsidP="001B0080">
      <w:pPr>
        <w:jc w:val="center"/>
        <w:rPr>
          <w:lang w:val="en-US"/>
        </w:rPr>
      </w:pPr>
    </w:p>
    <w:p w14:paraId="278EE818" w14:textId="27CC3340" w:rsidR="00C74366" w:rsidRDefault="0063471C" w:rsidP="001B0080">
      <w:pPr>
        <w:jc w:val="center"/>
        <w:rPr>
          <w:lang w:val="en-US"/>
        </w:rPr>
      </w:pPr>
      <w:r>
        <w:rPr>
          <w:lang w:val="en-US"/>
        </w:rPr>
        <w:t xml:space="preserve">Cost of </w:t>
      </w:r>
      <w:r w:rsidR="001B0080">
        <w:rPr>
          <w:lang w:val="en-US"/>
        </w:rPr>
        <w:t>C</w:t>
      </w:r>
      <w:r>
        <w:rPr>
          <w:lang w:val="en-US"/>
        </w:rPr>
        <w:t>aring</w:t>
      </w:r>
    </w:p>
    <w:p w14:paraId="194BA3A8" w14:textId="740CD76B" w:rsidR="001B0080" w:rsidRDefault="001B0080" w:rsidP="001B0080">
      <w:pPr>
        <w:jc w:val="center"/>
        <w:rPr>
          <w:lang w:val="en-US"/>
        </w:rPr>
      </w:pPr>
      <w:r>
        <w:rPr>
          <w:lang w:val="en-US"/>
        </w:rPr>
        <w:t>Name</w:t>
      </w:r>
    </w:p>
    <w:p w14:paraId="72CED7D1" w14:textId="52F2F34E" w:rsidR="001B0080" w:rsidRDefault="001B0080" w:rsidP="001B0080">
      <w:pPr>
        <w:jc w:val="center"/>
        <w:rPr>
          <w:lang w:val="en-US"/>
        </w:rPr>
      </w:pPr>
      <w:r>
        <w:rPr>
          <w:lang w:val="en-US"/>
        </w:rPr>
        <w:t>Institution</w:t>
      </w:r>
    </w:p>
    <w:p w14:paraId="4D6CDD9D" w14:textId="647EA78D" w:rsidR="001B0080" w:rsidRDefault="001B0080" w:rsidP="001B0080">
      <w:pPr>
        <w:jc w:val="center"/>
        <w:rPr>
          <w:lang w:val="en-US"/>
        </w:rPr>
      </w:pPr>
    </w:p>
    <w:p w14:paraId="69EEAC0E" w14:textId="044B7B24" w:rsidR="001B0080" w:rsidRDefault="001B0080" w:rsidP="001B0080">
      <w:pPr>
        <w:jc w:val="center"/>
        <w:rPr>
          <w:lang w:val="en-US"/>
        </w:rPr>
      </w:pPr>
    </w:p>
    <w:p w14:paraId="5EBFD6B0" w14:textId="009C0A23" w:rsidR="001B0080" w:rsidRDefault="001B0080" w:rsidP="001B0080">
      <w:pPr>
        <w:jc w:val="center"/>
        <w:rPr>
          <w:lang w:val="en-US"/>
        </w:rPr>
      </w:pPr>
    </w:p>
    <w:p w14:paraId="7D3D9F47" w14:textId="40145A55" w:rsidR="001B0080" w:rsidRDefault="001B0080" w:rsidP="001B0080">
      <w:pPr>
        <w:jc w:val="center"/>
        <w:rPr>
          <w:lang w:val="en-US"/>
        </w:rPr>
      </w:pPr>
    </w:p>
    <w:p w14:paraId="67DA57B4" w14:textId="3E6372A7" w:rsidR="001B0080" w:rsidRDefault="001B0080" w:rsidP="001B0080">
      <w:pPr>
        <w:jc w:val="center"/>
        <w:rPr>
          <w:lang w:val="en-US"/>
        </w:rPr>
      </w:pPr>
    </w:p>
    <w:p w14:paraId="0832377B" w14:textId="09870FC0" w:rsidR="001B0080" w:rsidRDefault="001B0080" w:rsidP="001B0080">
      <w:pPr>
        <w:jc w:val="center"/>
        <w:rPr>
          <w:lang w:val="en-US"/>
        </w:rPr>
      </w:pPr>
    </w:p>
    <w:p w14:paraId="1D73F6B8" w14:textId="04CCACA4" w:rsidR="001B0080" w:rsidRDefault="001B0080" w:rsidP="001B0080">
      <w:pPr>
        <w:jc w:val="center"/>
        <w:rPr>
          <w:lang w:val="en-US"/>
        </w:rPr>
      </w:pPr>
    </w:p>
    <w:p w14:paraId="3B07C11B" w14:textId="3388051F" w:rsidR="001B0080" w:rsidRDefault="001B0080" w:rsidP="001B0080">
      <w:pPr>
        <w:jc w:val="center"/>
        <w:rPr>
          <w:lang w:val="en-US"/>
        </w:rPr>
      </w:pPr>
    </w:p>
    <w:p w14:paraId="043947B6" w14:textId="2480D59B" w:rsidR="001B0080" w:rsidRDefault="001B0080" w:rsidP="001B0080">
      <w:pPr>
        <w:jc w:val="center"/>
        <w:rPr>
          <w:lang w:val="en-US"/>
        </w:rPr>
      </w:pPr>
    </w:p>
    <w:p w14:paraId="7D8F4F88" w14:textId="7DEB0565" w:rsidR="001B0080" w:rsidRDefault="001B0080" w:rsidP="001B0080">
      <w:pPr>
        <w:jc w:val="center"/>
        <w:rPr>
          <w:lang w:val="en-US"/>
        </w:rPr>
      </w:pPr>
    </w:p>
    <w:p w14:paraId="3C3AF099" w14:textId="3C2CEFA1" w:rsidR="001B0080" w:rsidRDefault="001B0080" w:rsidP="001B0080">
      <w:pPr>
        <w:jc w:val="center"/>
        <w:rPr>
          <w:lang w:val="en-US"/>
        </w:rPr>
      </w:pPr>
    </w:p>
    <w:p w14:paraId="22F1C95C" w14:textId="30C6880B" w:rsidR="001B0080" w:rsidRDefault="001B0080" w:rsidP="001B0080">
      <w:pPr>
        <w:jc w:val="center"/>
        <w:rPr>
          <w:lang w:val="en-US"/>
        </w:rPr>
      </w:pPr>
    </w:p>
    <w:p w14:paraId="4B5DDB9F" w14:textId="77777777" w:rsidR="001B0080" w:rsidRDefault="001B0080" w:rsidP="001B0080">
      <w:pPr>
        <w:jc w:val="center"/>
        <w:rPr>
          <w:lang w:val="en-US"/>
        </w:rPr>
      </w:pPr>
    </w:p>
    <w:p w14:paraId="120CDBE2" w14:textId="77777777" w:rsidR="001B0080" w:rsidRDefault="001B0080">
      <w:pPr>
        <w:rPr>
          <w:lang w:val="en-US"/>
        </w:rPr>
      </w:pPr>
    </w:p>
    <w:p w14:paraId="3A80DA02" w14:textId="37B39FC2" w:rsidR="002266C7" w:rsidRDefault="0063471C" w:rsidP="001B0080">
      <w:pPr>
        <w:spacing w:line="480" w:lineRule="auto"/>
        <w:ind w:firstLine="720"/>
        <w:jc w:val="both"/>
        <w:rPr>
          <w:lang w:val="en-US"/>
        </w:rPr>
      </w:pPr>
      <w:r>
        <w:rPr>
          <w:lang w:val="en-US"/>
        </w:rPr>
        <w:lastRenderedPageBreak/>
        <w:t xml:space="preserve">Vicarious trauma occurs as a result of interaction with individuals who have undergone through a traumatic situation and are affected by the events, thus limiting their overall personal wellbeing. The traumatic situations are different based on the setting and the level of exposure. Some of the common conditions include sexual assault, domestic violence, a </w:t>
      </w:r>
      <w:r w:rsidR="001B0080">
        <w:rPr>
          <w:lang w:val="en-US"/>
        </w:rPr>
        <w:t>disaster</w:t>
      </w:r>
      <w:r>
        <w:rPr>
          <w:lang w:val="en-US"/>
        </w:rPr>
        <w:t xml:space="preserve"> such as earthquakes, fires, and hurricanes. Military officers also undergo significant traumatic situations during their work, which might have an integral influence on their mental and psychological wellbeing</w:t>
      </w:r>
      <w:r w:rsidR="001B0080">
        <w:rPr>
          <w:lang w:val="en-US"/>
        </w:rPr>
        <w:t xml:space="preserve"> (</w:t>
      </w:r>
      <w:r w:rsidR="001B0080" w:rsidRPr="001B0080">
        <w:t>Hernandez-Wolfe</w:t>
      </w:r>
      <w:r w:rsidR="001B0080">
        <w:rPr>
          <w:lang w:val="en-US"/>
        </w:rPr>
        <w:t xml:space="preserve"> et al., 2015).</w:t>
      </w:r>
      <w:r>
        <w:rPr>
          <w:lang w:val="en-US"/>
        </w:rPr>
        <w:t xml:space="preserve"> As a counselor, it is essential to control the effect of these situations through application of professional guidelines. However, dealing with these </w:t>
      </w:r>
      <w:r w:rsidR="00C74366">
        <w:rPr>
          <w:lang w:val="en-US"/>
        </w:rPr>
        <w:t>experiences</w:t>
      </w:r>
      <w:r>
        <w:rPr>
          <w:lang w:val="en-US"/>
        </w:rPr>
        <w:t xml:space="preserve"> </w:t>
      </w:r>
      <w:r w:rsidR="00471BA8">
        <w:rPr>
          <w:lang w:val="en-US"/>
        </w:rPr>
        <w:t>completely</w:t>
      </w:r>
      <w:r>
        <w:rPr>
          <w:lang w:val="en-US"/>
        </w:rPr>
        <w:t xml:space="preserve"> is difficult, which </w:t>
      </w:r>
      <w:r w:rsidR="00471BA8">
        <w:rPr>
          <w:lang w:val="en-US"/>
        </w:rPr>
        <w:t>m</w:t>
      </w:r>
      <w:r>
        <w:rPr>
          <w:lang w:val="en-US"/>
        </w:rPr>
        <w:t>ight lead to vicarious trauma. Every individual has unique experiences which might be challenging to control influencing individual wellbeing as a counselor.</w:t>
      </w:r>
      <w:r w:rsidR="00C74366">
        <w:rPr>
          <w:lang w:val="en-US"/>
        </w:rPr>
        <w:t xml:space="preserve"> Caring for individuals having trauma is difficult, although there is a need for trauma </w:t>
      </w:r>
      <w:r w:rsidR="0092634A">
        <w:rPr>
          <w:lang w:val="en-US"/>
        </w:rPr>
        <w:t>assisting</w:t>
      </w:r>
      <w:r w:rsidR="00C74366">
        <w:rPr>
          <w:lang w:val="en-US"/>
        </w:rPr>
        <w:t xml:space="preserve"> the counselor to remain steadfast and control these adverse outcomes. </w:t>
      </w:r>
    </w:p>
    <w:p w14:paraId="4FDD8CB1" w14:textId="77777777" w:rsidR="00471BA8" w:rsidRPr="00471BA8" w:rsidRDefault="0063471C" w:rsidP="001B0080">
      <w:pPr>
        <w:spacing w:line="480" w:lineRule="auto"/>
        <w:jc w:val="both"/>
        <w:rPr>
          <w:lang w:val="en-US"/>
        </w:rPr>
      </w:pPr>
      <w:r w:rsidRPr="00471BA8">
        <w:rPr>
          <w:lang w:val="en-US"/>
        </w:rPr>
        <w:t>A description of a possible vicarious trauma-triggering event</w:t>
      </w:r>
    </w:p>
    <w:p w14:paraId="016B4A4E" w14:textId="13E21D98" w:rsidR="00471BA8" w:rsidRDefault="0063471C" w:rsidP="001B0080">
      <w:pPr>
        <w:spacing w:line="480" w:lineRule="auto"/>
        <w:ind w:firstLine="720"/>
        <w:jc w:val="both"/>
        <w:rPr>
          <w:lang w:val="en-US"/>
        </w:rPr>
      </w:pPr>
      <w:r w:rsidRPr="00471BA8">
        <w:rPr>
          <w:lang w:val="en-US"/>
        </w:rPr>
        <w:t xml:space="preserve">An event that can trigger vicarious trauma can occur when a sexually assaulted minor is brought to seek physical, mental, and psychological assistance from a counselor. The image of the minor being sexually assaulted based on how the whole event is narrated to a counselor can have a detrimental </w:t>
      </w:r>
      <w:r w:rsidR="00C74366" w:rsidRPr="00471BA8">
        <w:rPr>
          <w:lang w:val="en-US"/>
        </w:rPr>
        <w:t>influence</w:t>
      </w:r>
      <w:r w:rsidRPr="00471BA8">
        <w:rPr>
          <w:lang w:val="en-US"/>
        </w:rPr>
        <w:t xml:space="preserve"> on counselor wellbeing. It is difficult to understand how an adult can commit such a </w:t>
      </w:r>
      <w:r w:rsidR="00C74366" w:rsidRPr="00471BA8">
        <w:rPr>
          <w:lang w:val="en-US"/>
        </w:rPr>
        <w:t>heinous</w:t>
      </w:r>
      <w:r w:rsidRPr="00471BA8">
        <w:rPr>
          <w:lang w:val="en-US"/>
        </w:rPr>
        <w:t xml:space="preserve"> act</w:t>
      </w:r>
      <w:r w:rsidR="001B0080">
        <w:rPr>
          <w:lang w:val="en-US"/>
        </w:rPr>
        <w:t xml:space="preserve"> (</w:t>
      </w:r>
      <w:r w:rsidR="001B0080" w:rsidRPr="001B0080">
        <w:t xml:space="preserve">Howlett &amp; Collins, 2014). </w:t>
      </w:r>
      <w:r w:rsidRPr="00471BA8">
        <w:rPr>
          <w:lang w:val="en-US"/>
        </w:rPr>
        <w:t xml:space="preserve"> Such action can </w:t>
      </w:r>
      <w:r w:rsidR="00C74366" w:rsidRPr="00471BA8">
        <w:rPr>
          <w:lang w:val="en-US"/>
        </w:rPr>
        <w:t>influence</w:t>
      </w:r>
      <w:r w:rsidRPr="00471BA8">
        <w:rPr>
          <w:lang w:val="en-US"/>
        </w:rPr>
        <w:t xml:space="preserve"> how a counselor perceives a particular gender because the whole gender in this aspect is equated as being capable of </w:t>
      </w:r>
      <w:r w:rsidR="00C74366" w:rsidRPr="00471BA8">
        <w:rPr>
          <w:lang w:val="en-US"/>
        </w:rPr>
        <w:t>committing</w:t>
      </w:r>
      <w:r w:rsidRPr="00471BA8">
        <w:rPr>
          <w:lang w:val="en-US"/>
        </w:rPr>
        <w:t xml:space="preserve"> such atrocities. </w:t>
      </w:r>
      <w:r>
        <w:rPr>
          <w:lang w:val="en-US"/>
        </w:rPr>
        <w:t xml:space="preserve">When a counselor gets to deal with the majority of such cases can have a detrimental influence on their ability to offer quality services to individuals from that specific </w:t>
      </w:r>
      <w:r w:rsidR="00C74366">
        <w:rPr>
          <w:lang w:val="en-US"/>
        </w:rPr>
        <w:t>gender.</w:t>
      </w:r>
      <w:r w:rsidR="00C74366" w:rsidRPr="00471BA8">
        <w:rPr>
          <w:lang w:val="en-US"/>
        </w:rPr>
        <w:t xml:space="preserve"> The</w:t>
      </w:r>
      <w:r w:rsidRPr="00471BA8">
        <w:rPr>
          <w:lang w:val="en-US"/>
        </w:rPr>
        <w:t xml:space="preserve"> development of a negative attitude </w:t>
      </w:r>
      <w:r w:rsidR="00C74366" w:rsidRPr="00471BA8">
        <w:rPr>
          <w:lang w:val="en-US"/>
        </w:rPr>
        <w:t>towards</w:t>
      </w:r>
      <w:r w:rsidRPr="00471BA8">
        <w:rPr>
          <w:lang w:val="en-US"/>
        </w:rPr>
        <w:t xml:space="preserve"> a particular gender means that when an individual from the perceived gender seeks assistance, it will be very difficult to offer an accurate solution. </w:t>
      </w:r>
    </w:p>
    <w:p w14:paraId="38DB25C7" w14:textId="38EBDBA7" w:rsidR="00471BA8" w:rsidRDefault="0063471C" w:rsidP="001B0080">
      <w:pPr>
        <w:spacing w:line="480" w:lineRule="auto"/>
        <w:jc w:val="both"/>
        <w:rPr>
          <w:lang w:val="en-US"/>
        </w:rPr>
      </w:pPr>
      <w:r w:rsidRPr="00471BA8">
        <w:rPr>
          <w:lang w:val="en-US"/>
        </w:rPr>
        <w:lastRenderedPageBreak/>
        <w:t>Describe the material that a client might bring in that could lead to vicarious trauma.</w:t>
      </w:r>
    </w:p>
    <w:p w14:paraId="4B5669E3" w14:textId="21E47E6A" w:rsidR="00471BA8" w:rsidRDefault="0063471C" w:rsidP="001B0080">
      <w:pPr>
        <w:spacing w:line="480" w:lineRule="auto"/>
        <w:ind w:firstLine="720"/>
        <w:jc w:val="both"/>
        <w:rPr>
          <w:lang w:val="en-US"/>
        </w:rPr>
      </w:pPr>
      <w:r>
        <w:rPr>
          <w:lang w:val="en-US"/>
        </w:rPr>
        <w:t xml:space="preserve">The materials that can lead to vicarious trauma in this context include the story of the events on how the whole event transpired. A counselor gets to visualize an action based on how the stories are narrated. In cases involving sexual assault, there are usually physical injuries which highlight the extent to which the perpetrator used excessive force in </w:t>
      </w:r>
      <w:r w:rsidR="00C74366">
        <w:rPr>
          <w:lang w:val="en-US"/>
        </w:rPr>
        <w:t>committing</w:t>
      </w:r>
      <w:r>
        <w:rPr>
          <w:lang w:val="en-US"/>
        </w:rPr>
        <w:t xml:space="preserve"> the offense</w:t>
      </w:r>
      <w:r w:rsidR="001B0080">
        <w:rPr>
          <w:lang w:val="en-US"/>
        </w:rPr>
        <w:t xml:space="preserve"> (</w:t>
      </w:r>
      <w:r w:rsidR="001B0080" w:rsidRPr="001B0080">
        <w:t>Dubberley,</w:t>
      </w:r>
      <w:r w:rsidR="001B0080">
        <w:rPr>
          <w:lang w:val="en-US"/>
        </w:rPr>
        <w:t xml:space="preserve"> </w:t>
      </w:r>
      <w:r w:rsidR="001B0080" w:rsidRPr="001B0080">
        <w:t xml:space="preserve">Griffin &amp; Bal, 2015). </w:t>
      </w:r>
      <w:r>
        <w:rPr>
          <w:lang w:val="en-US"/>
        </w:rPr>
        <w:t xml:space="preserve">Children might be unable to walk as a result of excessive force and the damage to various parts of the body, including private parts. The client might also come in torn </w:t>
      </w:r>
      <w:r w:rsidR="00C74366">
        <w:rPr>
          <w:lang w:val="en-US"/>
        </w:rPr>
        <w:t>clothes</w:t>
      </w:r>
      <w:r>
        <w:rPr>
          <w:lang w:val="en-US"/>
        </w:rPr>
        <w:t xml:space="preserve"> with bloodstains. Such images are difficult to overcome. This could easily lead to vicarious trauma because a counselor is unable to understand the intention of such perpetrators and the reasoning behind such actions, which could lead to vicarious trauma. </w:t>
      </w:r>
    </w:p>
    <w:p w14:paraId="352D6D29" w14:textId="14733A6B" w:rsidR="00471BA8" w:rsidRDefault="0063471C" w:rsidP="001B0080">
      <w:pPr>
        <w:spacing w:line="480" w:lineRule="auto"/>
        <w:ind w:firstLine="720"/>
        <w:jc w:val="both"/>
        <w:rPr>
          <w:lang w:val="en-US"/>
        </w:rPr>
      </w:pPr>
      <w:r>
        <w:rPr>
          <w:lang w:val="en-US"/>
        </w:rPr>
        <w:t xml:space="preserve">A trauma </w:t>
      </w:r>
      <w:r w:rsidR="00C74366">
        <w:rPr>
          <w:lang w:val="en-US"/>
        </w:rPr>
        <w:t>assisting</w:t>
      </w:r>
      <w:r>
        <w:rPr>
          <w:lang w:val="en-US"/>
        </w:rPr>
        <w:t xml:space="preserve"> counselor always focuses on offering help to clients to ensure that they control the trauma through an adequate focus on mental and psychological wellbeing. In such situations, counselors are faced with a different and complex situation where there is a need to understand the intention of the perpetrator. In cases where a counselor is unable to understand the motive of the events, it becomes difficult to solve. Such situations limit their ability to offer better solutions due to the negative </w:t>
      </w:r>
      <w:r w:rsidR="00C74366">
        <w:rPr>
          <w:lang w:val="en-US"/>
        </w:rPr>
        <w:t>influence</w:t>
      </w:r>
      <w:r>
        <w:rPr>
          <w:lang w:val="en-US"/>
        </w:rPr>
        <w:t xml:space="preserve"> of such actions on their wellbeing.</w:t>
      </w:r>
      <w:r w:rsidR="00C74366">
        <w:rPr>
          <w:lang w:val="en-US"/>
        </w:rPr>
        <w:t xml:space="preserve"> Dealing with such cases require a strong commitment and high level of professionalism. </w:t>
      </w:r>
    </w:p>
    <w:p w14:paraId="3A620E25" w14:textId="5EC579EE" w:rsidR="00471BA8" w:rsidRDefault="00471BA8" w:rsidP="00471BA8">
      <w:pPr>
        <w:rPr>
          <w:lang w:val="en-US"/>
        </w:rPr>
      </w:pPr>
    </w:p>
    <w:p w14:paraId="58E38D28" w14:textId="2CAB0E60" w:rsidR="00471BA8" w:rsidRDefault="00471BA8" w:rsidP="00471BA8">
      <w:pPr>
        <w:rPr>
          <w:lang w:val="en-US"/>
        </w:rPr>
      </w:pPr>
    </w:p>
    <w:p w14:paraId="3953405B" w14:textId="6FB6F177" w:rsidR="00471BA8" w:rsidRDefault="00471BA8" w:rsidP="00471BA8">
      <w:pPr>
        <w:rPr>
          <w:lang w:val="en-US"/>
        </w:rPr>
      </w:pPr>
    </w:p>
    <w:p w14:paraId="585A4BEA" w14:textId="1B1F44F9" w:rsidR="001B0080" w:rsidRDefault="001B0080" w:rsidP="00471BA8">
      <w:pPr>
        <w:rPr>
          <w:lang w:val="en-US"/>
        </w:rPr>
      </w:pPr>
    </w:p>
    <w:p w14:paraId="19A5CCB1" w14:textId="08AA59AD" w:rsidR="001B0080" w:rsidRDefault="001B0080" w:rsidP="00471BA8">
      <w:pPr>
        <w:rPr>
          <w:lang w:val="en-US"/>
        </w:rPr>
      </w:pPr>
    </w:p>
    <w:p w14:paraId="0A3EFE3E" w14:textId="2DAC5370" w:rsidR="001B0080" w:rsidRDefault="001B0080" w:rsidP="00471BA8">
      <w:pPr>
        <w:rPr>
          <w:lang w:val="en-US"/>
        </w:rPr>
      </w:pPr>
    </w:p>
    <w:p w14:paraId="4709AB08" w14:textId="58F32659" w:rsidR="001B0080" w:rsidRDefault="001B0080" w:rsidP="00471BA8">
      <w:pPr>
        <w:rPr>
          <w:lang w:val="en-US"/>
        </w:rPr>
      </w:pPr>
    </w:p>
    <w:p w14:paraId="03131960" w14:textId="77777777" w:rsidR="001B0080" w:rsidRPr="00471BA8" w:rsidRDefault="001B0080" w:rsidP="00471BA8">
      <w:pPr>
        <w:rPr>
          <w:lang w:val="en-US"/>
        </w:rPr>
      </w:pPr>
    </w:p>
    <w:p w14:paraId="2806DA8D" w14:textId="0EC120B7" w:rsidR="00471BA8" w:rsidRDefault="001B0080" w:rsidP="001B0080">
      <w:pPr>
        <w:jc w:val="center"/>
        <w:rPr>
          <w:lang w:val="en-US"/>
        </w:rPr>
      </w:pPr>
      <w:r>
        <w:rPr>
          <w:lang w:val="en-US"/>
        </w:rPr>
        <w:lastRenderedPageBreak/>
        <w:t>References</w:t>
      </w:r>
    </w:p>
    <w:p w14:paraId="68F69EE4" w14:textId="77777777" w:rsidR="001B0080" w:rsidRDefault="001B0080" w:rsidP="001B0080">
      <w:pPr>
        <w:spacing w:line="480" w:lineRule="auto"/>
        <w:ind w:left="720" w:hanging="720"/>
      </w:pPr>
      <w:r w:rsidRPr="001B0080">
        <w:t>Dubberley, S., Griffin, E., &amp; Bal, H. M. (2015). Making secondary trauma a primary issue: A study of eyewitness media and vicarious trauma on the digital frontline. </w:t>
      </w:r>
      <w:r w:rsidRPr="001B0080">
        <w:rPr>
          <w:i/>
          <w:iCs/>
        </w:rPr>
        <w:t>Istanbul: Eyewitness Media Hub</w:t>
      </w:r>
      <w:r w:rsidRPr="001B0080">
        <w:t>.</w:t>
      </w:r>
    </w:p>
    <w:p w14:paraId="583A85F1" w14:textId="77777777" w:rsidR="001B0080" w:rsidRPr="008D2C46" w:rsidRDefault="001B0080" w:rsidP="001B0080">
      <w:pPr>
        <w:spacing w:line="480" w:lineRule="auto"/>
        <w:ind w:left="720" w:hanging="720"/>
        <w:rPr>
          <w:lang w:val="en-US"/>
        </w:rPr>
      </w:pPr>
      <w:r w:rsidRPr="001B0080">
        <w:t>Hernandez-Wolfe, P., Killian, K., Engstrom, D., &amp; Gangsei, D. (2015). Vicarious resilience, vicarious trauma, and awareness of equity in trauma work. </w:t>
      </w:r>
      <w:r w:rsidRPr="001B0080">
        <w:rPr>
          <w:i/>
          <w:iCs/>
        </w:rPr>
        <w:t>Journal of Humanistic Psychology</w:t>
      </w:r>
      <w:r w:rsidRPr="001B0080">
        <w:t>, </w:t>
      </w:r>
      <w:r w:rsidRPr="001B0080">
        <w:rPr>
          <w:i/>
          <w:iCs/>
        </w:rPr>
        <w:t>55</w:t>
      </w:r>
      <w:r w:rsidRPr="001B0080">
        <w:t>(2), 153-172.</w:t>
      </w:r>
    </w:p>
    <w:p w14:paraId="583144B8" w14:textId="77777777" w:rsidR="001B0080" w:rsidRDefault="001B0080" w:rsidP="001B0080">
      <w:pPr>
        <w:spacing w:line="480" w:lineRule="auto"/>
        <w:ind w:left="720" w:hanging="720"/>
      </w:pPr>
      <w:r w:rsidRPr="001B0080">
        <w:t>Howlett, S. L., &amp; Collins, A. (2014). Vicarious traumatisation: risk and resilience among crisis support volunteers in a community organisation. </w:t>
      </w:r>
      <w:r w:rsidRPr="001B0080">
        <w:rPr>
          <w:i/>
          <w:iCs/>
        </w:rPr>
        <w:t>South African Journal of Psychology</w:t>
      </w:r>
      <w:r w:rsidRPr="001B0080">
        <w:t>, </w:t>
      </w:r>
      <w:r w:rsidRPr="001B0080">
        <w:rPr>
          <w:i/>
          <w:iCs/>
        </w:rPr>
        <w:t>44</w:t>
      </w:r>
      <w:r w:rsidRPr="001B0080">
        <w:t>(2), 180-190.</w:t>
      </w:r>
    </w:p>
    <w:sectPr w:rsidR="001B0080" w:rsidSect="001B008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76AF64" w14:textId="77777777" w:rsidR="00C946AC" w:rsidRDefault="00C946AC" w:rsidP="001B0080">
      <w:pPr>
        <w:spacing w:after="0" w:line="240" w:lineRule="auto"/>
      </w:pPr>
      <w:r>
        <w:separator/>
      </w:r>
    </w:p>
  </w:endnote>
  <w:endnote w:type="continuationSeparator" w:id="0">
    <w:p w14:paraId="047BC69E" w14:textId="77777777" w:rsidR="00C946AC" w:rsidRDefault="00C946AC" w:rsidP="001B0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79DA57" w14:textId="77777777" w:rsidR="00C946AC" w:rsidRDefault="00C946AC" w:rsidP="001B0080">
      <w:pPr>
        <w:spacing w:after="0" w:line="240" w:lineRule="auto"/>
      </w:pPr>
      <w:r>
        <w:separator/>
      </w:r>
    </w:p>
  </w:footnote>
  <w:footnote w:type="continuationSeparator" w:id="0">
    <w:p w14:paraId="4E30D5FB" w14:textId="77777777" w:rsidR="00C946AC" w:rsidRDefault="00C946AC" w:rsidP="001B00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C9A0C4" w14:textId="32501089" w:rsidR="001B0080" w:rsidRDefault="001B0080">
    <w:pPr>
      <w:pStyle w:val="Header"/>
      <w:jc w:val="right"/>
    </w:pPr>
    <w:r w:rsidRPr="001B0080">
      <w:rPr>
        <w:lang w:val="en-US"/>
      </w:rPr>
      <w:t>COST OF SHARING</w:t>
    </w:r>
    <w:r w:rsidRPr="001B0080">
      <w:t xml:space="preserve"> </w:t>
    </w:r>
    <w:r>
      <w:rPr>
        <w:lang w:val="en-US"/>
      </w:rPr>
      <w:t xml:space="preserve">                                                                                                            </w:t>
    </w:r>
    <w:sdt>
      <w:sdtPr>
        <w:id w:val="12836889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D9C8D44" w14:textId="77777777" w:rsidR="001B0080" w:rsidRDefault="001B00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C4123" w14:textId="579AA402" w:rsidR="001B0080" w:rsidRDefault="001B0080">
    <w:pPr>
      <w:pStyle w:val="Header"/>
      <w:jc w:val="right"/>
    </w:pPr>
    <w:r>
      <w:rPr>
        <w:lang w:val="en-US"/>
      </w:rPr>
      <w:t xml:space="preserve">Running head: COST OF SHARING                                                                                    </w:t>
    </w:r>
    <w:sdt>
      <w:sdtPr>
        <w:id w:val="-11223020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EFA9F66" w14:textId="77777777" w:rsidR="001B0080" w:rsidRDefault="001B00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Q1MDU3MrUEYlMjQyUdpeDU4uLM/DyQAsNaAP80Q+8sAAAA"/>
  </w:docVars>
  <w:rsids>
    <w:rsidRoot w:val="008D2C46"/>
    <w:rsid w:val="001B0080"/>
    <w:rsid w:val="002266C7"/>
    <w:rsid w:val="00471BA8"/>
    <w:rsid w:val="005C0997"/>
    <w:rsid w:val="0063471C"/>
    <w:rsid w:val="008D2C46"/>
    <w:rsid w:val="0092634A"/>
    <w:rsid w:val="00C370FC"/>
    <w:rsid w:val="00C74366"/>
    <w:rsid w:val="00C946A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F1750"/>
  <w15:chartTrackingRefBased/>
  <w15:docId w15:val="{0013AD92-3C62-43C8-A354-AF4809D78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00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0080"/>
  </w:style>
  <w:style w:type="paragraph" w:styleId="Footer">
    <w:name w:val="footer"/>
    <w:basedOn w:val="Normal"/>
    <w:link w:val="FooterChar"/>
    <w:uiPriority w:val="99"/>
    <w:unhideWhenUsed/>
    <w:rsid w:val="001B00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00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2019-08-28T22:42:00Z</dcterms:created>
  <dcterms:modified xsi:type="dcterms:W3CDTF">2019-08-28T22:42:00Z</dcterms:modified>
</cp:coreProperties>
</file>